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10" w:rsidRPr="00546F10" w:rsidRDefault="00546F10" w:rsidP="00546F1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546F10">
        <w:rPr>
          <w:rFonts w:ascii="Monotype Corsiva" w:eastAsia="Times New Roman" w:hAnsi="Monotype Corsiva" w:cs="Times New Roman"/>
          <w:b/>
          <w:sz w:val="40"/>
          <w:szCs w:val="40"/>
        </w:rPr>
        <w:t xml:space="preserve">Знаки </w:t>
      </w:r>
      <w:proofErr w:type="spellStart"/>
      <w:r w:rsidRPr="00546F10">
        <w:rPr>
          <w:rFonts w:ascii="Monotype Corsiva" w:eastAsia="Times New Roman" w:hAnsi="Monotype Corsiva" w:cs="Times New Roman"/>
          <w:b/>
          <w:sz w:val="40"/>
          <w:szCs w:val="40"/>
        </w:rPr>
        <w:t>безпеки</w:t>
      </w:r>
      <w:proofErr w:type="spellEnd"/>
      <w:r w:rsidRPr="00546F10">
        <w:rPr>
          <w:rFonts w:ascii="Monotype Corsiva" w:eastAsia="Times New Roman" w:hAnsi="Monotype Corsiva" w:cs="Times New Roman"/>
          <w:b/>
          <w:sz w:val="40"/>
          <w:szCs w:val="40"/>
        </w:rPr>
        <w:t xml:space="preserve"> та </w:t>
      </w:r>
      <w:proofErr w:type="spellStart"/>
      <w:r w:rsidRPr="00546F10">
        <w:rPr>
          <w:rFonts w:ascii="Monotype Corsiva" w:eastAsia="Times New Roman" w:hAnsi="Monotype Corsiva" w:cs="Times New Roman"/>
          <w:b/>
          <w:sz w:val="40"/>
          <w:szCs w:val="40"/>
        </w:rPr>
        <w:t>сигнальн</w:t>
      </w:r>
      <w:proofErr w:type="spellEnd"/>
      <w:r w:rsidRPr="00546F10">
        <w:rPr>
          <w:rFonts w:ascii="Monotype Corsiva" w:eastAsia="Times New Roman" w:hAnsi="Monotype Corsiva" w:cs="Times New Roman"/>
          <w:b/>
          <w:sz w:val="40"/>
          <w:szCs w:val="40"/>
          <w:lang w:val="uk-UA"/>
        </w:rPr>
        <w:t>і</w:t>
      </w:r>
      <w:r w:rsidRPr="00546F10">
        <w:rPr>
          <w:rFonts w:ascii="Monotype Corsiva" w:eastAsia="Times New Roman" w:hAnsi="Monotype Corsiva" w:cs="Times New Roman"/>
          <w:b/>
          <w:sz w:val="40"/>
          <w:szCs w:val="40"/>
        </w:rPr>
        <w:t xml:space="preserve"> </w:t>
      </w:r>
      <w:proofErr w:type="spellStart"/>
      <w:r w:rsidRPr="00546F10">
        <w:rPr>
          <w:rFonts w:ascii="Monotype Corsiva" w:eastAsia="Times New Roman" w:hAnsi="Monotype Corsiva" w:cs="Times New Roman"/>
          <w:b/>
          <w:sz w:val="40"/>
          <w:szCs w:val="40"/>
        </w:rPr>
        <w:t>кольори</w:t>
      </w:r>
      <w:proofErr w:type="spellEnd"/>
    </w:p>
    <w:p w:rsidR="00546F10" w:rsidRDefault="00546F10" w:rsidP="00546F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Безпека виконуваних робіт суттєво залежить від дохідливості, швидкості та точності зорової інформації. </w:t>
      </w:r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основане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широке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>ідприємствах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сигнальних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відіграють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закодованого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носія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відповідної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сигнальні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знаки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регламентовані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ГОСТ 12.4.026-76.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документу у нас, як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сигнальні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46F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червоний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— „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небезпека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546F10"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  <w:t>жовтий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— „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'', </w:t>
      </w:r>
      <w:proofErr w:type="spellStart"/>
      <w:r w:rsidRPr="00546F1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зелений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— „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546F1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синій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— „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80F3B" w:rsidRPr="00546F10" w:rsidRDefault="00480F3B" w:rsidP="004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rg_hi" descr="http://t2.gstatic.com/images?q=tbn:ANd9GcQNo29dmuZz8DUo8pB_UQApCuDQLauKXMnD-YemQnRZ2RYmn8Q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No29dmuZz8DUo8pB_UQApCuDQLauKXMnD-YemQnRZ2RYmn8Q8O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10" w:rsidRDefault="00546F10" w:rsidP="00546F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46F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Червоний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призначений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протипожежних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абсолютної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невідкладної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зупинки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того, ним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фарбують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прилади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виникнути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вогненебезпечна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аварійна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F3B" w:rsidRPr="00546F10" w:rsidRDefault="00480F3B" w:rsidP="00480F3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4" name="rg_hi" descr="http://t1.gstatic.com/images?q=tbn:ANd9GcQguw-A0EAbrYCNAoPkoxgf-l-joP2KYYZyavfjqhDWeZ3BKa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guw-A0EAbrYCNAoPkoxgf-l-joP2KYYZyavfjqhDWeZ3BKaX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10" w:rsidRPr="00546F10" w:rsidRDefault="00546F10" w:rsidP="00546F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F10"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  <w:t>Жовтим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кольором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фарбують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небезпечні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устаткування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низько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розташовані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над проходами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виступи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>ідлогах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внутрішньоцехового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транспорту. </w:t>
      </w:r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більшої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помітності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застосовують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чередування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жовтих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чорних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смуг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F10" w:rsidRPr="00546F10" w:rsidRDefault="00546F10" w:rsidP="00546F10">
      <w:pPr>
        <w:shd w:val="clear" w:color="auto" w:fill="FFFFFF"/>
        <w:spacing w:after="0" w:line="235" w:lineRule="atLeast"/>
        <w:ind w:left="14" w:right="5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F1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Зелений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синій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служить для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Білимпроїздів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проходів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складування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кольором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позначають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F10" w:rsidRPr="00546F10" w:rsidRDefault="00546F10" w:rsidP="00546F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ГОСТ 12.4.026-76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регламентує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пофарбування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інженерних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конструкцій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трубопроводі</w:t>
      </w:r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електрошин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7AF7" w:rsidRPr="00546F10" w:rsidRDefault="00546F10" w:rsidP="00546F10">
      <w:pPr>
        <w:ind w:firstLine="708"/>
        <w:jc w:val="both"/>
        <w:rPr>
          <w:sz w:val="28"/>
          <w:szCs w:val="28"/>
        </w:rPr>
      </w:pPr>
      <w:r w:rsidRPr="0054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Знаки безпеки призначені для попередження працюючих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  <w:lang w:val="uk-UA"/>
        </w:rPr>
        <w:t>прб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можливу небезпеку, про необхідність застосування відповідних засобів захисту, а також дозволяють чи забороняють певні дії працівників.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знаки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забороняючі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попереджуючі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приписуючі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вказівні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(рисунок дивись </w:t>
      </w:r>
      <w:proofErr w:type="gramStart"/>
      <w:r w:rsidRPr="00546F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четвертій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10">
        <w:rPr>
          <w:rFonts w:ascii="Times New Roman" w:eastAsia="Times New Roman" w:hAnsi="Times New Roman" w:cs="Times New Roman"/>
          <w:sz w:val="28"/>
          <w:szCs w:val="28"/>
        </w:rPr>
        <w:t>обкладинки</w:t>
      </w:r>
      <w:proofErr w:type="spellEnd"/>
      <w:r w:rsidRPr="00546F10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247AF7" w:rsidRPr="005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10"/>
    <w:rsid w:val="00247AF7"/>
    <w:rsid w:val="00480F3B"/>
    <w:rsid w:val="0054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ЛКТО</dc:creator>
  <cp:keywords/>
  <dc:description/>
  <cp:lastModifiedBy>Зав. ЛКТО</cp:lastModifiedBy>
  <cp:revision>3</cp:revision>
  <dcterms:created xsi:type="dcterms:W3CDTF">2012-07-09T09:50:00Z</dcterms:created>
  <dcterms:modified xsi:type="dcterms:W3CDTF">2012-07-09T09:54:00Z</dcterms:modified>
</cp:coreProperties>
</file>